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rPr>
          <w:rFonts w:cs="TimesNewRoman"/>
          <w:b/>
          <w:sz w:val="28"/>
          <w:szCs w:val="24"/>
        </w:rPr>
      </w:pPr>
      <w:r>
        <w:rPr>
          <w:rFonts w:cs="TimesNewRoman"/>
          <w:b/>
          <w:sz w:val="28"/>
          <w:szCs w:val="24"/>
        </w:rPr>
        <w:t>Items: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cs="TimesNewRoman"/>
          <w:szCs w:val="24"/>
        </w:rPr>
      </w:pPr>
      <w:r>
        <w:rPr>
          <w:rFonts w:cs="TimesNewRoman"/>
          <w:szCs w:val="24"/>
        </w:rPr>
        <w:t>Low Noise Narrow Line-width less than 1kHz Laser ITU 34=1550.12nm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cs="TimesNewRoman"/>
          <w:szCs w:val="24"/>
        </w:rPr>
      </w:pPr>
      <w:r>
        <w:rPr>
          <w:rFonts w:cs="TimesNewRoman"/>
          <w:szCs w:val="24"/>
        </w:rPr>
        <w:t>Low Noise Narrow Line-width less than 1kHz Laser ITU 38=1546.92nm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cs="TimesNewRoman"/>
          <w:szCs w:val="24"/>
        </w:rPr>
      </w:pPr>
      <w:r>
        <w:rPr>
          <w:rFonts w:cs="TimesNewRoman"/>
          <w:szCs w:val="24"/>
        </w:rPr>
        <w:t>Low Noise Narrow Line-width less than 1kHz Laser ITU 42=1543.72nm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cs="TimesNewRoman"/>
          <w:szCs w:val="24"/>
        </w:rPr>
      </w:pPr>
      <w:r>
        <w:rPr>
          <w:rFonts w:cs="TimesNewRoman"/>
          <w:szCs w:val="24"/>
        </w:rPr>
        <w:t>Low Noise Narrow Line-width less than 1kHz Laser ITU 46=1540.56n</w:t>
      </w:r>
      <w:r>
        <w:rPr>
          <w:rFonts w:hint="eastAsia" w:eastAsia="宋体" w:cs="TimesNewRoman"/>
          <w:szCs w:val="24"/>
          <w:lang w:val="en-US" w:eastAsia="zh-CN"/>
        </w:rPr>
        <w:t>m</w:t>
      </w:r>
      <w:bookmarkStart w:id="0" w:name="_GoBack"/>
      <w:bookmarkEnd w:id="0"/>
    </w:p>
    <w:p>
      <w:pPr>
        <w:spacing w:line="360" w:lineRule="auto"/>
        <w:rPr>
          <w:rFonts w:cs="TimesNewRoman"/>
          <w:szCs w:val="24"/>
        </w:rPr>
      </w:pPr>
    </w:p>
    <w:p>
      <w:p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,Bold"/>
          <w:b/>
          <w:bCs/>
          <w:sz w:val="28"/>
          <w:szCs w:val="28"/>
        </w:rPr>
        <w:t>Specification for Low Noise, narrow line-width laser sources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Type of Laser: Low Phase noise, Narrow linewidth laser source with necessary accessories.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Centre wavelength of the DFB laser emission: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ITU ch. 34 = 1550.12nm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ITU ch. 38 = 1546.92nm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ITU ch. 42 = 1543.72 nm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ITU ch. 46 = 1540.56 nm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A max deviation of ±0.05nm in center wavelength is only acceptable for a fixed operating temperature of 25°C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Laser Emission: CW, inherently single frequency, with single polarization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Power Output: </w:t>
      </w:r>
      <w:r>
        <w:rPr>
          <w:rFonts w:cs="Symbol"/>
          <w:szCs w:val="24"/>
        </w:rPr>
        <w:t xml:space="preserve">≥ </w:t>
      </w:r>
      <w:r>
        <w:rPr>
          <w:rFonts w:cs="Calibri"/>
          <w:szCs w:val="24"/>
        </w:rPr>
        <w:t>10mW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Line Width: </w:t>
      </w:r>
      <w:r>
        <w:rPr>
          <w:rFonts w:cs="Symbol"/>
          <w:szCs w:val="24"/>
        </w:rPr>
        <w:t xml:space="preserve">≤ </w:t>
      </w:r>
      <w:r>
        <w:rPr>
          <w:rFonts w:cs="Calibri"/>
          <w:szCs w:val="24"/>
        </w:rPr>
        <w:t>1kHz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Frequency Noise: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≤ 100Hz/rt.Hz @ 1kHz to 10kHz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≤ 30Hz/rt.Hz @ 10kHz to 1MHz</w:t>
      </w:r>
    </w:p>
    <w:p>
      <w:pPr>
        <w:pStyle w:val="5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≤ 10Hz/rt.Hz @ &gt;1MHz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Relative Intensity Noise (RIN): </w:t>
      </w:r>
      <w:r>
        <w:rPr>
          <w:rFonts w:cs="Symbol"/>
          <w:szCs w:val="24"/>
        </w:rPr>
        <w:t>≤−</w:t>
      </w:r>
      <w:r>
        <w:rPr>
          <w:rFonts w:cs="Calibri"/>
          <w:szCs w:val="24"/>
        </w:rPr>
        <w:t>110dBc/Hz @ 1kHz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RIN Relaxation Frequency: &gt; 100 kHz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Optical S/N: </w:t>
      </w:r>
      <w:r>
        <w:rPr>
          <w:rFonts w:cs="Symbol"/>
          <w:szCs w:val="24"/>
        </w:rPr>
        <w:t xml:space="preserve">≥ </w:t>
      </w:r>
      <w:r>
        <w:rPr>
          <w:rFonts w:cs="Calibri"/>
          <w:szCs w:val="24"/>
        </w:rPr>
        <w:t>50dB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Longitudinal Lasing Modes: Single Mode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Polarization Extinction Ratio: </w:t>
      </w:r>
      <w:r>
        <w:rPr>
          <w:rFonts w:cs="Symbol"/>
          <w:szCs w:val="24"/>
        </w:rPr>
        <w:t xml:space="preserve">≥ </w:t>
      </w:r>
      <w:r>
        <w:rPr>
          <w:rFonts w:cs="Calibri"/>
          <w:szCs w:val="24"/>
        </w:rPr>
        <w:t>20dB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Pigtail fiber PM fiber with at least 1m length, laser dominant polarization aligned to slow axis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Fiber connector at ends FC/APC male connector with the slow axis aligned to key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Package option Well packaged against shock, vibration etc.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Control Interface Preferably USB/ RS232/ RS485 or equivalent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Accessories Provide all the essential accessories like Power supply adaptor (for 230V, 50Hz), cables, GUI controller etc., if they are required for the operation mentioned.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"/>
          <w:szCs w:val="24"/>
        </w:rPr>
        <w:t>Test Report and Certificate of Conformance: Test report and Certificate of Conformance to be delivered for each item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="Calibri"/>
          <w:szCs w:val="24"/>
        </w:rPr>
      </w:pPr>
      <w:r>
        <w:rPr>
          <w:rFonts w:cs="Calibri,Bold"/>
          <w:bCs/>
          <w:szCs w:val="24"/>
        </w:rPr>
        <w:t>Warranty: Two years</w:t>
      </w:r>
    </w:p>
    <w:sectPr>
      <w:pgSz w:w="11907" w:h="16839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,Bold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847DCB"/>
    <w:multiLevelType w:val="multilevel"/>
    <w:tmpl w:val="2C847DC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322A2"/>
    <w:multiLevelType w:val="multilevel"/>
    <w:tmpl w:val="39D322A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36F"/>
    <w:rsid w:val="003174B2"/>
    <w:rsid w:val="007B728D"/>
    <w:rsid w:val="00AF3A4A"/>
    <w:rsid w:val="00CD431A"/>
    <w:rsid w:val="00F2425D"/>
    <w:rsid w:val="00F6136F"/>
    <w:rsid w:val="2BF1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" w:hAnsi="Cambria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Grid Table 5 Dark Accent 2"/>
    <w:basedOn w:val="2"/>
    <w:qFormat/>
    <w:uiPriority w:val="50"/>
    <w:rPr>
      <w:rFonts w:ascii="Garamond" w:hAnsi="Garamond"/>
      <w:sz w:val="22"/>
    </w:r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auto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/>
      </w:tcPr>
    </w:tblStylePr>
    <w:tblStylePr w:type="band1Vert">
      <w:tcPr>
        <w:shd w:val="clear" w:color="auto" w:fill="E5B8B7"/>
      </w:tcPr>
    </w:tblStylePr>
    <w:tblStylePr w:type="band2Vert">
      <w:tcPr>
        <w:shd w:val="clear" w:color="auto" w:fill="F2DBDB"/>
      </w:tcPr>
    </w:tblStylePr>
    <w:tblStylePr w:type="band1Horz">
      <w:tcPr>
        <w:shd w:val="clear" w:color="auto" w:fill="E5B8B7"/>
      </w:tcPr>
    </w:tblStylePr>
    <w:tblStylePr w:type="band2Horz">
      <w:tcPr>
        <w:shd w:val="clear" w:color="auto" w:fill="F2DBDB"/>
      </w:tcPr>
    </w:tblStylePr>
    <w:tblStylePr w:type="neCell">
      <w:tcPr>
        <w:shd w:val="clear" w:color="auto" w:fill="C0504D"/>
      </w:tcPr>
    </w:tblStylePr>
    <w:tblStylePr w:type="nwCell">
      <w:tcPr>
        <w:shd w:val="clear" w:color="auto" w:fill="C0504D"/>
      </w:tcPr>
    </w:tblStylePr>
    <w:tblStylePr w:type="seCell">
      <w:tcPr>
        <w:shd w:val="clear" w:color="auto" w:fill="C0504D"/>
      </w:tcPr>
    </w:tblStylePr>
    <w:tblStylePr w:type="swCell">
      <w:tcPr>
        <w:shd w:val="clear" w:color="auto" w:fill="C0504D"/>
      </w:tcPr>
    </w:tblStyle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1465</Characters>
  <Lines>12</Lines>
  <Paragraphs>3</Paragraphs>
  <TotalTime>5</TotalTime>
  <ScaleCrop>false</ScaleCrop>
  <LinksUpToDate>false</LinksUpToDate>
  <CharactersWithSpaces>1718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2021-10-20T06:31:00Z</dcterms:created>
  <dc:creator>Nakul Sharma</dc:creator>
  <cp:lastModifiedBy>刘先森</cp:lastModifiedBy>
  <dcterms:modified xsi:type="dcterms:W3CDTF">2021-10-20T15:01:27Z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765F6328FA184D31B7CEE42B4A72AC14</vt:lpwstr>
  </property>
</Properties>
</file>